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仿宋" w:eastAsia="方正小标宋简体" w:cs="Times New Roman"/>
          <w:sz w:val="40"/>
          <w:szCs w:val="36"/>
        </w:rPr>
      </w:pPr>
      <w:r>
        <w:rPr>
          <w:rFonts w:hint="eastAsia" w:ascii="方正小标宋简体" w:hAnsi="仿宋" w:eastAsia="方正小标宋简体" w:cs="Times New Roman"/>
          <w:sz w:val="40"/>
          <w:szCs w:val="36"/>
        </w:rPr>
        <w:t>山东省科技成果转化中试示范基地重点支持方向</w:t>
      </w:r>
    </w:p>
    <w:p>
      <w:pPr>
        <w:spacing w:line="500" w:lineRule="exact"/>
        <w:jc w:val="center"/>
        <w:rPr>
          <w:rFonts w:hint="eastAsia" w:ascii="方正小标宋简体" w:hAnsi="仿宋" w:eastAsia="方正小标宋简体" w:cs="Times New Roman"/>
          <w:sz w:val="22"/>
          <w:szCs w:val="32"/>
        </w:rPr>
      </w:pPr>
    </w:p>
    <w:tbl>
      <w:tblPr>
        <w:tblStyle w:val="8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01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产业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领域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技术领域方向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新一代信息技术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人工智能、大数据、区块链、先进计算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光电子、集成电路及关键电子元器件、新一代网络与通信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高端服务器及云服务、基础软件和工业软件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先进制造技术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高档数控机床与基础制造装备、智能机器人、增材制造与激光制造、绿色制造等战略性新兴产业领域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高精度减速器、高性能控制器、高端分析测试仪器、智能仪表等基础零部件与科学仪器领域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动力装备、海工装备、轨道交通装备、智能家居等领域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物联网、数字孪生、人工智能等信息技术与先进制造的交叉领域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现代交通技术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电动汽车，氢能源交通装备技术，智能网联，汽车关键技术和部件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轨道交通、道路交通和水路交通及智能运维服务领域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新能源新材料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氢能利用、可再生能源、先进储能、能源高效利用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前沿功能材料、新型金属材料、新型无机非金属材料，新型高分子材料，高技术纤维材料、复合材料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烯烃类、有机酸等高端产品生物制造、智能生物制造、连续生产工艺、精细生物制造新路线等生物制造领域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微生物组学、生物防控技术、生物技术药物、中药生物加工、生物技术疫苗等领域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现代高效农业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种质资源保护利用、现代育种技术、新品种培育等领域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耕地资源有效利用、粮经作物高效生产等领域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重大疫病防控、绿色健康养殖等领域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智能农机装备、农产品与现代食品等领域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现代海洋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海洋高端装备、智慧港口关键技术、海洋观测等领域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海水养殖、海洋资源开发、海洋能利用等领域布局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海洋生态修复、滨海湿地海岛生态保护、陆源污染防治等领域布局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医养健康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传染性疾病防控、重大疾病防治、干细胞技术等领域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重大新药创制、精准医学、主动健康、生育健康等领域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道地药材研究、中药创制、中医传统经方、中医药特色诊疗等领域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高端化工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煤化工、精细化工、橡胶材料等我省优势特色领域布局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绿色制造、废弃物综合利用、清洁生产与环境风险控制等急需领域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端化工装备及核心部件、智慧化生产系统等前沿交叉领域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双碳与环保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节能降碳、低碳、零碳以及负碳技术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水污染防控、大气复合污染防控，土壤污染修复与治理，脆弱区生态系统保护与修复、资源绿色高效开采利用技术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新型智慧城市，城市更新改造和功能提升，城市低碳能源系统，高性能绿色建筑和智能建造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未来产业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量子信息、类脑智能、基因技术、深海极地、空天信息、极端环境新材料、未来网络等前沿领域布局</w:t>
            </w:r>
          </w:p>
        </w:tc>
      </w:tr>
    </w:tbl>
    <w:p>
      <w:pPr>
        <w:rPr>
          <w:rFonts w:ascii="仿宋" w:hAnsi="仿宋" w:eastAsia="仿宋" w:cs="Times New Roman"/>
          <w:sz w:val="32"/>
          <w:szCs w:val="24"/>
        </w:rPr>
      </w:pPr>
    </w:p>
    <w:p>
      <w:pPr>
        <w:spacing w:after="120"/>
        <w:ind w:firstLine="210" w:firstLineChars="100"/>
        <w:rPr>
          <w:rFonts w:ascii="Calibri" w:hAnsi="Calibri" w:eastAsia="宋体" w:cs="Times New Roman"/>
          <w:szCs w:val="20"/>
        </w:rPr>
      </w:pPr>
    </w:p>
    <w:p>
      <w:pPr>
        <w:spacing w:after="120"/>
        <w:ind w:firstLine="320" w:firstLineChars="100"/>
        <w:rPr>
          <w:rFonts w:ascii="黑体" w:hAnsi="黑体" w:eastAsia="黑体" w:cs="黑体"/>
          <w:sz w:val="32"/>
          <w:szCs w:val="32"/>
        </w:rPr>
      </w:pPr>
    </w:p>
    <w:p/>
    <w:sectPr>
      <w:footerReference r:id="rId3" w:type="default"/>
      <w:pgSz w:w="11906" w:h="16838"/>
      <w:pgMar w:top="1701" w:right="1474" w:bottom="1701" w:left="1474" w:header="851" w:footer="85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