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小标宋简体" w:hAnsi="方正小标宋简体" w:eastAsia="方正小标宋简体" w:cs="方正小标宋简体"/>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关于《</w:t>
      </w:r>
      <w:r>
        <w:rPr>
          <w:rFonts w:hint="eastAsia" w:ascii="方正小标宋简体" w:hAnsi="方正小标宋简体" w:eastAsia="方正小标宋简体" w:cs="方正小标宋简体"/>
          <w:color w:val="auto"/>
          <w:sz w:val="44"/>
          <w:szCs w:val="44"/>
          <w:lang w:eastAsia="zh-CN"/>
        </w:rPr>
        <w:t>山东省绿色低碳高质量发展促进条例</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（草案征求意见稿）</w:t>
      </w:r>
      <w:r>
        <w:rPr>
          <w:rFonts w:hint="eastAsia" w:ascii="方正小标宋简体" w:hAnsi="方正小标宋简体" w:eastAsia="方正小标宋简体" w:cs="方正小标宋简体"/>
          <w:color w:val="auto"/>
          <w:sz w:val="44"/>
          <w:szCs w:val="44"/>
          <w:lang w:val="en-US" w:eastAsia="zh-CN"/>
        </w:rPr>
        <w:t>》</w:t>
      </w:r>
      <w:r>
        <w:rPr>
          <w:rFonts w:ascii="Times New Roman" w:hAnsi="Times New Roman" w:eastAsia="方正小标宋简体" w:cs="Times New Roman"/>
          <w:sz w:val="44"/>
          <w:szCs w:val="44"/>
        </w:rPr>
        <w:t>的起草说明</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一、立法的必要性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高质量发展是全面建设社会主义现代化国家的首要任务，推动经济社会发展绿色化、低碳化是实现高质量发展的关键环节。在习近平总书记和党中央的亲切关怀下，2022年8月，国务院印发《关于支持山东深化新旧动能转换推动绿色低碳高质量发展的意见》，赋予山东建设绿色低碳高质量发展先行区的重大使命。这是党中央提出“双碳”战略以来，全国第一个以绿色低碳高质量发展为主题的战略布局，也是新中国成立以来第一个以国发文件赋予山东的重大战略使命，为中国式现代化山东实践开辟了广阔空间。2024年5月，习近平总书记再次亲临山东考察并强调，山东要在全国发展大局中定好位、挑大梁，完整准确全面贯彻新发展理念，以进一步全面深化改革为动力，继续在服务和融入新发展格局上走在前、在增强经济社会发展创新力上走在前、在推动黄河流域生态保护和高质量发展上走在前，加快建设绿色低碳高质量发展先行区，打造高水平对外开放新高地，奋力谱写中国式现代化山东篇章。习近平总书记对山东绿色低碳高质量发展十分关心、寄予厚望，为山东阔步新征程指明了前进方向、提供了根本遵循。山东坚持以习近平新时代中国特色社会主义思想为指导，深入贯彻落实习近平总书记对山东工作重要指示要求和党中央决策部署，以建设绿色低碳高质量发展先行区为总抓手，稳扎稳打、踏踏实实做好各项工作，全省绿色低碳高质量发展实现</w:t>
      </w:r>
      <w:bookmarkStart w:id="0" w:name="_GoBack"/>
      <w:bookmarkEnd w:id="0"/>
      <w:r>
        <w:rPr>
          <w:rFonts w:hint="eastAsia" w:ascii="Times New Roman" w:hAnsi="Times New Roman" w:eastAsia="仿宋_GB2312" w:cs="Times New Roman"/>
          <w:sz w:val="32"/>
          <w:szCs w:val="32"/>
          <w:lang w:val="en-US" w:eastAsia="zh-CN"/>
        </w:rPr>
        <w:t>良好开局。为进一步推动全省绿色低碳高质量发展，切实解决全省绿色低碳高质量发展工作中存在的短板和不足，有必要在总结我省绿色低碳高质量发展工作实践经验的基础上，借鉴兄弟省市立法经验，通过地方立法，明确主体责任、监督管理和服务职责，突出山东地域特色，为全省绿色低碳高质量发展提供有力的法治保障。</w:t>
      </w:r>
    </w:p>
    <w:p>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rPr>
        <w:t>二</w:t>
      </w:r>
      <w:r>
        <w:rPr>
          <w:rFonts w:ascii="Times New Roman" w:hAnsi="Times New Roman" w:eastAsia="黑体" w:cs="Times New Roman"/>
          <w:sz w:val="32"/>
          <w:szCs w:val="32"/>
        </w:rPr>
        <w:t>、主要内容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山东省绿色低碳高质量发展促进条例</w:t>
      </w:r>
      <w:r>
        <w:rPr>
          <w:rFonts w:hint="eastAsia" w:ascii="Times New Roman" w:hAnsi="Times New Roman" w:eastAsia="仿宋_GB2312" w:cs="Times New Roman"/>
          <w:sz w:val="32"/>
          <w:szCs w:val="32"/>
        </w:rPr>
        <w:t>（草案征求意见稿）</w:t>
      </w:r>
      <w:r>
        <w:rPr>
          <w:rFonts w:ascii="Times New Roman" w:hAnsi="Times New Roman" w:eastAsia="仿宋_GB2312" w:cs="Times New Roman"/>
          <w:sz w:val="32"/>
          <w:szCs w:val="32"/>
        </w:rPr>
        <w:t>》共</w:t>
      </w:r>
      <w:r>
        <w:rPr>
          <w:rFonts w:hint="eastAsia" w:ascii="Times New Roman" w:hAnsi="Times New Roman" w:eastAsia="仿宋_GB2312" w:cs="Times New Roman"/>
          <w:sz w:val="32"/>
          <w:szCs w:val="32"/>
          <w:lang w:val="en-US" w:eastAsia="zh-CN"/>
        </w:rPr>
        <w:t>7章51</w:t>
      </w:r>
      <w:r>
        <w:rPr>
          <w:rFonts w:ascii="Times New Roman" w:hAnsi="Times New Roman" w:eastAsia="仿宋_GB2312" w:cs="Times New Roman"/>
          <w:sz w:val="32"/>
          <w:szCs w:val="32"/>
        </w:rPr>
        <w:t>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楷体" w:cs="Times New Roman"/>
          <w:sz w:val="32"/>
          <w:szCs w:val="32"/>
        </w:rPr>
        <w:t>一是基本原则。</w:t>
      </w:r>
      <w:r>
        <w:rPr>
          <w:rFonts w:hint="eastAsia" w:ascii="Times New Roman" w:hAnsi="Times New Roman" w:eastAsia="仿宋_GB2312" w:cs="Times New Roman"/>
          <w:sz w:val="32"/>
          <w:szCs w:val="32"/>
        </w:rPr>
        <w:t>规定了立法目的</w:t>
      </w:r>
      <w:r>
        <w:rPr>
          <w:rFonts w:hint="eastAsia" w:ascii="Times New Roman" w:hAnsi="Times New Roman" w:eastAsia="仿宋_GB2312" w:cs="Times New Roman"/>
          <w:sz w:val="32"/>
          <w:szCs w:val="32"/>
          <w:lang w:val="en-US" w:eastAsia="zh-CN"/>
        </w:rPr>
        <w:t>和依据</w:t>
      </w:r>
      <w:r>
        <w:rPr>
          <w:rFonts w:hint="eastAsia" w:ascii="Times New Roman" w:hAnsi="Times New Roman" w:eastAsia="仿宋_GB2312" w:cs="Times New Roman"/>
          <w:sz w:val="32"/>
          <w:szCs w:val="32"/>
        </w:rPr>
        <w:t>、适用范围、</w:t>
      </w:r>
      <w:r>
        <w:rPr>
          <w:rFonts w:hint="eastAsia" w:ascii="Times New Roman" w:hAnsi="Times New Roman" w:eastAsia="仿宋_GB2312" w:cs="Times New Roman"/>
          <w:sz w:val="32"/>
          <w:szCs w:val="32"/>
          <w:lang w:val="en-US" w:eastAsia="zh-CN"/>
        </w:rPr>
        <w:t>基本原则</w:t>
      </w:r>
      <w:r>
        <w:rPr>
          <w:rFonts w:hint="eastAsia" w:ascii="Times New Roman" w:hAnsi="Times New Roman" w:eastAsia="仿宋_GB2312" w:cs="Times New Roman"/>
          <w:sz w:val="32"/>
          <w:szCs w:val="32"/>
        </w:rPr>
        <w:t>等</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明确了政府</w:t>
      </w:r>
      <w:r>
        <w:rPr>
          <w:rFonts w:hint="eastAsia" w:ascii="Times New Roman" w:hAnsi="Times New Roman" w:eastAsia="仿宋_GB2312" w:cs="Times New Roman"/>
          <w:sz w:val="32"/>
          <w:szCs w:val="32"/>
          <w:lang w:val="en-US" w:eastAsia="zh-CN"/>
        </w:rPr>
        <w:t>职责</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部门职责及行业组织作用</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同时</w:t>
      </w:r>
      <w:r>
        <w:rPr>
          <w:rFonts w:hint="eastAsia" w:ascii="Times New Roman" w:hAnsi="Times New Roman" w:eastAsia="仿宋_GB2312" w:cs="Times New Roman"/>
          <w:sz w:val="32"/>
          <w:szCs w:val="32"/>
        </w:rPr>
        <w:t>对</w:t>
      </w:r>
      <w:r>
        <w:rPr>
          <w:rFonts w:hint="eastAsia" w:ascii="Times New Roman" w:hAnsi="Times New Roman" w:eastAsia="仿宋_GB2312" w:cs="Times New Roman"/>
          <w:sz w:val="32"/>
          <w:szCs w:val="32"/>
          <w:lang w:val="en-US" w:eastAsia="zh-CN"/>
        </w:rPr>
        <w:t>绿色低碳行为规范、宣传教育和考核奖励</w:t>
      </w:r>
      <w:r>
        <w:rPr>
          <w:rFonts w:hint="eastAsia" w:ascii="Times New Roman" w:hAnsi="Times New Roman" w:eastAsia="仿宋_GB2312" w:cs="Times New Roman"/>
          <w:sz w:val="32"/>
          <w:szCs w:val="32"/>
        </w:rPr>
        <w:t>作出了规定。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Times New Roman" w:hAnsi="Times New Roman" w:eastAsia="楷体" w:cs="Times New Roman"/>
          <w:sz w:val="32"/>
          <w:szCs w:val="32"/>
        </w:rPr>
        <w:t>二</w:t>
      </w:r>
      <w:r>
        <w:rPr>
          <w:rFonts w:ascii="Times New Roman" w:hAnsi="Times New Roman" w:eastAsia="楷体" w:cs="Times New Roman"/>
          <w:sz w:val="32"/>
          <w:szCs w:val="32"/>
        </w:rPr>
        <w:t>是</w:t>
      </w:r>
      <w:r>
        <w:rPr>
          <w:rFonts w:hint="eastAsia" w:ascii="Times New Roman" w:hAnsi="Times New Roman" w:eastAsia="楷体" w:cs="Times New Roman"/>
          <w:sz w:val="32"/>
          <w:szCs w:val="32"/>
          <w:lang w:val="en-US" w:eastAsia="zh-CN"/>
        </w:rPr>
        <w:t>产业发展</w:t>
      </w:r>
      <w:r>
        <w:rPr>
          <w:rFonts w:ascii="Times New Roman" w:hAnsi="Times New Roman" w:eastAsia="楷体" w:cs="Times New Roman"/>
          <w:sz w:val="32"/>
          <w:szCs w:val="32"/>
        </w:rPr>
        <w:t>。</w:t>
      </w:r>
      <w:r>
        <w:rPr>
          <w:rFonts w:ascii="Times New Roman" w:hAnsi="Times New Roman" w:eastAsia="仿宋_GB2312" w:cs="Times New Roman"/>
          <w:sz w:val="32"/>
          <w:szCs w:val="32"/>
        </w:rPr>
        <w:t>规定</w:t>
      </w:r>
      <w:r>
        <w:rPr>
          <w:rFonts w:hint="eastAsia" w:ascii="Times New Roman" w:hAnsi="Times New Roman" w:eastAsia="仿宋_GB2312" w:cs="Times New Roman"/>
          <w:sz w:val="32"/>
          <w:szCs w:val="32"/>
        </w:rPr>
        <w:t>了</w:t>
      </w:r>
      <w:r>
        <w:rPr>
          <w:rFonts w:hint="eastAsia" w:ascii="Times New Roman" w:hAnsi="Times New Roman" w:eastAsia="仿宋_GB2312" w:cs="Times New Roman"/>
          <w:sz w:val="32"/>
          <w:szCs w:val="32"/>
          <w:lang w:val="en-US" w:eastAsia="zh-CN"/>
        </w:rPr>
        <w:t>我省和设区的人民政府责任，需建立</w:t>
      </w:r>
      <w:r>
        <w:rPr>
          <w:rFonts w:hint="eastAsia" w:ascii="仿宋_GB2312" w:hAnsi="仿宋_GB2312" w:eastAsia="仿宋_GB2312" w:cs="仿宋_GB2312"/>
          <w:color w:val="auto"/>
          <w:sz w:val="32"/>
          <w:szCs w:val="32"/>
          <w:lang w:val="en-US" w:eastAsia="zh-CN"/>
        </w:rPr>
        <w:t>绿色低碳高质量发展产业格局</w:t>
      </w:r>
      <w:r>
        <w:rPr>
          <w:rFonts w:hint="eastAsia" w:ascii="Times New Roman" w:hAnsi="Times New Roman" w:eastAsia="仿宋_GB2312" w:cs="Times New Roman"/>
          <w:sz w:val="32"/>
          <w:szCs w:val="32"/>
          <w:lang w:val="en-US" w:eastAsia="zh-CN"/>
        </w:rPr>
        <w:t>，并推动</w:t>
      </w:r>
      <w:r>
        <w:rPr>
          <w:rFonts w:hint="eastAsia" w:ascii="仿宋_GB2312" w:hAnsi="仿宋_GB2312" w:eastAsia="仿宋_GB2312" w:cs="仿宋_GB2312"/>
          <w:color w:val="auto"/>
          <w:sz w:val="32"/>
          <w:szCs w:val="32"/>
          <w:lang w:val="en-US" w:eastAsia="zh-CN"/>
        </w:rPr>
        <w:t>传统产业转型升级</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规定县级以上人民政府相关部门应引导企业技术改造、</w:t>
      </w:r>
      <w:r>
        <w:rPr>
          <w:rFonts w:hint="eastAsia" w:ascii="仿宋_GB2312" w:hAnsi="仿宋_GB2312" w:eastAsia="仿宋_GB2312" w:cs="仿宋_GB2312"/>
          <w:color w:val="auto"/>
          <w:sz w:val="32"/>
          <w:szCs w:val="32"/>
          <w:lang w:val="en-US" w:eastAsia="zh-CN"/>
        </w:rPr>
        <w:t>加强高耗能高排放项目管理、</w:t>
      </w:r>
      <w:r>
        <w:rPr>
          <w:rFonts w:hint="eastAsia" w:ascii="仿宋_GB2312" w:hAnsi="仿宋_GB2312" w:eastAsia="仿宋_GB2312" w:cs="仿宋_GB2312"/>
          <w:color w:val="auto"/>
          <w:sz w:val="32"/>
          <w:szCs w:val="32"/>
          <w:highlight w:val="none"/>
        </w:rPr>
        <w:t>加</w:t>
      </w:r>
      <w:r>
        <w:rPr>
          <w:rFonts w:hint="eastAsia" w:ascii="仿宋_GB2312" w:hAnsi="仿宋_GB2312" w:eastAsia="仿宋_GB2312" w:cs="仿宋_GB2312"/>
          <w:color w:val="auto"/>
          <w:sz w:val="32"/>
          <w:szCs w:val="32"/>
          <w:highlight w:val="none"/>
          <w:lang w:val="en-US" w:eastAsia="zh-CN"/>
        </w:rPr>
        <w:t>快</w:t>
      </w:r>
      <w:r>
        <w:rPr>
          <w:rFonts w:hint="eastAsia" w:ascii="仿宋_GB2312" w:hAnsi="仿宋_GB2312" w:eastAsia="仿宋_GB2312" w:cs="仿宋_GB2312"/>
          <w:color w:val="auto"/>
          <w:sz w:val="32"/>
          <w:szCs w:val="32"/>
          <w:highlight w:val="none"/>
        </w:rPr>
        <w:t>绿色低碳产业培育</w:t>
      </w:r>
      <w:r>
        <w:rPr>
          <w:rFonts w:hint="eastAsia" w:ascii="仿宋_GB2312" w:hAnsi="仿宋_GB2312" w:eastAsia="仿宋_GB2312" w:cs="仿宋_GB2312"/>
          <w:color w:val="auto"/>
          <w:sz w:val="32"/>
          <w:szCs w:val="32"/>
          <w:highlight w:val="none"/>
          <w:lang w:val="en-US" w:eastAsia="zh-CN"/>
        </w:rPr>
        <w:t>及壮大数字经济。同时规定了</w:t>
      </w:r>
      <w:r>
        <w:rPr>
          <w:rFonts w:hint="eastAsia" w:ascii="Times New Roman" w:hAnsi="Times New Roman" w:eastAsia="仿宋_GB2312" w:cs="Times New Roman"/>
          <w:sz w:val="32"/>
          <w:szCs w:val="32"/>
          <w:lang w:val="en-US" w:eastAsia="zh-CN"/>
        </w:rPr>
        <w:t>县级以上人民政府相关部门应当</w:t>
      </w:r>
      <w:r>
        <w:rPr>
          <w:rFonts w:hint="eastAsia" w:ascii="仿宋_GB2312" w:hAnsi="仿宋_GB2312" w:eastAsia="仿宋_GB2312" w:cs="仿宋_GB2312"/>
          <w:color w:val="auto"/>
          <w:sz w:val="32"/>
          <w:szCs w:val="32"/>
          <w:lang w:val="en-US" w:eastAsia="zh-CN"/>
        </w:rPr>
        <w:t>大力发展海洋特色新兴产业、挖掘</w:t>
      </w:r>
      <w:r>
        <w:rPr>
          <w:rFonts w:hint="eastAsia" w:ascii="仿宋_GB2312" w:hAnsi="仿宋_GB2312" w:eastAsia="仿宋_GB2312" w:cs="仿宋_GB2312"/>
          <w:color w:val="auto"/>
          <w:sz w:val="32"/>
          <w:szCs w:val="32"/>
        </w:rPr>
        <w:t>传统文化和红色文化</w:t>
      </w:r>
      <w:r>
        <w:rPr>
          <w:rFonts w:hint="eastAsia" w:ascii="仿宋_GB2312" w:hAnsi="仿宋_GB2312" w:eastAsia="仿宋_GB2312" w:cs="仿宋_GB2312"/>
          <w:color w:val="auto"/>
          <w:sz w:val="32"/>
          <w:szCs w:val="32"/>
          <w:lang w:val="en-US" w:eastAsia="zh-CN"/>
        </w:rPr>
        <w:t>资源。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rPr>
      </w:pPr>
      <w:r>
        <w:rPr>
          <w:rFonts w:hint="eastAsia" w:ascii="Times New Roman" w:hAnsi="Times New Roman" w:eastAsia="楷体" w:cs="Times New Roman"/>
          <w:sz w:val="32"/>
          <w:szCs w:val="32"/>
        </w:rPr>
        <w:t>三是</w:t>
      </w:r>
      <w:r>
        <w:rPr>
          <w:rFonts w:hint="eastAsia" w:ascii="Times New Roman" w:hAnsi="Times New Roman" w:eastAsia="楷体" w:cs="Times New Roman"/>
          <w:sz w:val="32"/>
          <w:szCs w:val="32"/>
          <w:lang w:val="en-US" w:eastAsia="zh-CN"/>
        </w:rPr>
        <w:t>能源转型</w:t>
      </w:r>
      <w:r>
        <w:rPr>
          <w:rFonts w:hint="eastAsia" w:ascii="Times New Roman" w:hAnsi="Times New Roman" w:eastAsia="楷体" w:cs="Times New Roman"/>
          <w:sz w:val="32"/>
          <w:szCs w:val="32"/>
        </w:rPr>
        <w:t>。</w:t>
      </w:r>
      <w:r>
        <w:rPr>
          <w:rFonts w:hint="eastAsia" w:ascii="Times New Roman" w:hAnsi="Times New Roman" w:eastAsia="仿宋_GB2312" w:cs="Times New Roman"/>
          <w:sz w:val="32"/>
          <w:szCs w:val="32"/>
        </w:rPr>
        <w:t>规定了</w:t>
      </w:r>
      <w:r>
        <w:rPr>
          <w:rFonts w:hint="eastAsia" w:ascii="仿宋_GB2312" w:hAnsi="仿宋_GB2312" w:eastAsia="仿宋_GB2312" w:cs="仿宋_GB2312"/>
          <w:color w:val="auto"/>
          <w:sz w:val="32"/>
          <w:szCs w:val="32"/>
          <w:lang w:val="en-US" w:eastAsia="zh-CN"/>
        </w:rPr>
        <w:t>省人民政府应当加快建设新型能源体系职责。规定</w:t>
      </w:r>
      <w:r>
        <w:rPr>
          <w:rFonts w:ascii="Times New Roman" w:hAnsi="Times New Roman" w:eastAsia="仿宋_GB2312" w:cs="Times New Roman"/>
          <w:sz w:val="32"/>
          <w:szCs w:val="32"/>
        </w:rPr>
        <w:t>县级以上人民政府</w:t>
      </w:r>
      <w:r>
        <w:rPr>
          <w:rFonts w:hint="eastAsia" w:ascii="Times New Roman" w:hAnsi="Times New Roman" w:eastAsia="仿宋_GB2312" w:cs="Times New Roman"/>
          <w:sz w:val="32"/>
          <w:szCs w:val="32"/>
          <w:lang w:val="en-US" w:eastAsia="zh-CN"/>
        </w:rPr>
        <w:t>及相关部门</w:t>
      </w:r>
      <w:r>
        <w:rPr>
          <w:rFonts w:hint="eastAsia" w:ascii="仿宋_GB2312" w:hAnsi="仿宋_GB2312" w:eastAsia="仿宋_GB2312" w:cs="仿宋_GB2312"/>
          <w:color w:val="auto"/>
          <w:sz w:val="32"/>
          <w:szCs w:val="32"/>
          <w:lang w:val="en-US" w:eastAsia="zh-CN"/>
        </w:rPr>
        <w:t>应当加强能效管理；调整和优化能源产业结构和消费结构；</w:t>
      </w:r>
      <w:r>
        <w:rPr>
          <w:rFonts w:hint="eastAsia" w:ascii="仿宋_GB2312" w:hAnsi="仿宋_GB2312" w:eastAsia="仿宋_GB2312" w:cs="仿宋_GB2312"/>
          <w:sz w:val="32"/>
          <w:szCs w:val="32"/>
          <w:lang w:val="en-US" w:eastAsia="zh-CN"/>
        </w:rPr>
        <w:t>根据新能源发展相关规划，推动新能源应用。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楷体" w:cs="Times New Roman"/>
          <w:sz w:val="32"/>
          <w:szCs w:val="32"/>
          <w:lang w:val="en-US" w:eastAsia="zh-CN"/>
        </w:rPr>
        <w:t>四</w:t>
      </w:r>
      <w:r>
        <w:rPr>
          <w:rFonts w:hint="eastAsia" w:ascii="Times New Roman" w:hAnsi="Times New Roman" w:eastAsia="楷体" w:cs="Times New Roman"/>
          <w:sz w:val="32"/>
          <w:szCs w:val="32"/>
        </w:rPr>
        <w:t>是</w:t>
      </w:r>
      <w:r>
        <w:rPr>
          <w:rFonts w:hint="eastAsia" w:ascii="Times New Roman" w:hAnsi="Times New Roman" w:eastAsia="楷体" w:cs="Times New Roman"/>
          <w:sz w:val="32"/>
          <w:szCs w:val="32"/>
          <w:lang w:val="en-US" w:eastAsia="zh-CN"/>
        </w:rPr>
        <w:t>生态建设</w:t>
      </w:r>
      <w:r>
        <w:rPr>
          <w:rFonts w:hint="eastAsia" w:ascii="Times New Roman" w:hAnsi="Times New Roman" w:eastAsia="楷体" w:cs="Times New Roman"/>
          <w:sz w:val="32"/>
          <w:szCs w:val="32"/>
        </w:rPr>
        <w:t>。</w:t>
      </w:r>
      <w:r>
        <w:rPr>
          <w:rFonts w:hint="eastAsia" w:ascii="仿宋_GB2312" w:hAnsi="仿宋_GB2312" w:eastAsia="仿宋_GB2312" w:cs="仿宋_GB2312"/>
          <w:color w:val="auto"/>
          <w:sz w:val="32"/>
          <w:szCs w:val="32"/>
          <w:lang w:val="en-US" w:eastAsia="zh-CN"/>
        </w:rPr>
        <w:t>规定了县级以上人民政府应当建设美丽山东责任。规定省人民政府相关部门应健全市场化多元化生态保护补偿制度，完善绿色发展财政奖补机制。规定县级以上人民政府应当提高生态用地的比例，促进土地节约集约利用；实行水资源管理制度；建立健全生态产品价值实现机制；</w:t>
      </w:r>
      <w:r>
        <w:rPr>
          <w:rFonts w:hint="eastAsia" w:ascii="仿宋_GB2312" w:hAnsi="仿宋_GB2312" w:eastAsia="仿宋_GB2312" w:cs="仿宋_GB2312"/>
          <w:color w:val="auto"/>
          <w:sz w:val="32"/>
          <w:szCs w:val="32"/>
          <w:highlight w:val="none"/>
          <w:lang w:val="en-US" w:eastAsia="zh-CN"/>
        </w:rPr>
        <w:t>提高</w:t>
      </w:r>
      <w:r>
        <w:rPr>
          <w:rFonts w:hint="eastAsia" w:ascii="仿宋_GB2312" w:hAnsi="仿宋_GB2312" w:eastAsia="仿宋_GB2312" w:cs="仿宋_GB2312"/>
          <w:color w:val="auto"/>
          <w:sz w:val="32"/>
          <w:szCs w:val="32"/>
          <w:lang w:val="en-US" w:eastAsia="zh-CN"/>
        </w:rPr>
        <w:t>废弃物循环利用水平。规定</w:t>
      </w:r>
      <w:r>
        <w:rPr>
          <w:rFonts w:hint="eastAsia" w:ascii="仿宋_GB2312" w:hAnsi="仿宋_GB2312" w:eastAsia="仿宋_GB2312" w:cs="仿宋_GB2312"/>
          <w:color w:val="auto"/>
          <w:sz w:val="32"/>
          <w:szCs w:val="32"/>
          <w:highlight w:val="none"/>
          <w:lang w:val="en-US" w:eastAsia="zh-CN"/>
        </w:rPr>
        <w:t>省人民政府应当支持产业园区循环化改造，推进园区绿色低碳发展。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Times New Roman" w:hAnsi="Times New Roman" w:eastAsia="楷体" w:cs="Times New Roman"/>
          <w:sz w:val="32"/>
          <w:szCs w:val="32"/>
          <w:lang w:val="en-US" w:eastAsia="zh-CN"/>
        </w:rPr>
        <w:t>五</w:t>
      </w:r>
      <w:r>
        <w:rPr>
          <w:rFonts w:hint="eastAsia" w:ascii="Times New Roman" w:hAnsi="Times New Roman" w:eastAsia="楷体" w:cs="Times New Roman"/>
          <w:sz w:val="32"/>
          <w:szCs w:val="32"/>
        </w:rPr>
        <w:t>是</w:t>
      </w:r>
      <w:r>
        <w:rPr>
          <w:rFonts w:hint="eastAsia" w:ascii="Times New Roman" w:hAnsi="Times New Roman" w:eastAsia="楷体" w:cs="Times New Roman"/>
          <w:sz w:val="32"/>
          <w:szCs w:val="32"/>
          <w:lang w:val="en-US" w:eastAsia="zh-CN"/>
        </w:rPr>
        <w:t>绿色生活</w:t>
      </w:r>
      <w:r>
        <w:rPr>
          <w:rFonts w:hint="eastAsia" w:ascii="Times New Roman" w:hAnsi="Times New Roman" w:eastAsia="楷体" w:cs="Times New Roman"/>
          <w:sz w:val="32"/>
          <w:szCs w:val="32"/>
        </w:rPr>
        <w:t>。</w:t>
      </w:r>
      <w:r>
        <w:rPr>
          <w:rFonts w:hint="eastAsia" w:ascii="Times New Roman" w:hAnsi="Times New Roman" w:eastAsia="仿宋_GB2312" w:cs="Times New Roman"/>
          <w:sz w:val="32"/>
          <w:szCs w:val="32"/>
          <w:lang w:val="en-US" w:eastAsia="zh-CN"/>
        </w:rPr>
        <w:t>规定</w:t>
      </w:r>
      <w:r>
        <w:rPr>
          <w:rFonts w:hint="eastAsia" w:ascii="Times New Roman" w:hAnsi="Times New Roman" w:eastAsia="仿宋_GB2312" w:cs="Times New Roman"/>
          <w:sz w:val="32"/>
          <w:szCs w:val="32"/>
        </w:rPr>
        <w:t>了</w:t>
      </w:r>
      <w:r>
        <w:rPr>
          <w:rFonts w:hint="eastAsia" w:ascii="Times New Roman" w:hAnsi="Times New Roman" w:eastAsia="仿宋_GB2312" w:cs="Times New Roman"/>
          <w:sz w:val="32"/>
          <w:szCs w:val="32"/>
          <w:lang w:val="en-US" w:eastAsia="zh-CN"/>
        </w:rPr>
        <w:t>需</w:t>
      </w:r>
      <w:r>
        <w:rPr>
          <w:rFonts w:hint="eastAsia" w:ascii="仿宋_GB2312" w:hAnsi="仿宋_GB2312" w:eastAsia="仿宋_GB2312" w:cs="仿宋_GB2312"/>
          <w:color w:val="auto"/>
          <w:sz w:val="32"/>
          <w:szCs w:val="32"/>
          <w:highlight w:val="none"/>
        </w:rPr>
        <w:t>加快形成绿色低碳生活方式。</w:t>
      </w:r>
      <w:r>
        <w:rPr>
          <w:rFonts w:hint="eastAsia" w:ascii="仿宋_GB2312" w:hAnsi="仿宋_GB2312" w:eastAsia="仿宋_GB2312" w:cs="仿宋_GB2312"/>
          <w:color w:val="auto"/>
          <w:sz w:val="32"/>
          <w:szCs w:val="32"/>
          <w:highlight w:val="none"/>
          <w:lang w:val="en-US" w:eastAsia="zh-CN"/>
        </w:rPr>
        <w:t>规定</w:t>
      </w:r>
      <w:r>
        <w:rPr>
          <w:rFonts w:hint="eastAsia" w:ascii="仿宋_GB2312" w:hAnsi="仿宋_GB2312" w:eastAsia="仿宋_GB2312" w:cs="仿宋_GB2312"/>
          <w:color w:val="auto"/>
          <w:sz w:val="32"/>
          <w:szCs w:val="32"/>
          <w:lang w:val="en-US" w:eastAsia="zh-CN"/>
        </w:rPr>
        <w:t>县级以上人民政府应当鼓励</w:t>
      </w:r>
      <w:r>
        <w:rPr>
          <w:rFonts w:hint="eastAsia" w:ascii="仿宋_GB2312" w:hAnsi="仿宋_GB2312" w:eastAsia="仿宋_GB2312" w:cs="仿宋_GB2312"/>
          <w:color w:val="auto"/>
          <w:sz w:val="32"/>
          <w:szCs w:val="32"/>
        </w:rPr>
        <w:t>扩大绿色产品供给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探索建立个人碳账户等绿色消费激励机制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规定</w:t>
      </w:r>
      <w:r>
        <w:rPr>
          <w:rFonts w:hint="eastAsia" w:ascii="仿宋_GB2312" w:hAnsi="仿宋_GB2312" w:eastAsia="仿宋_GB2312" w:cs="仿宋_GB2312"/>
          <w:color w:val="auto"/>
          <w:sz w:val="32"/>
          <w:szCs w:val="32"/>
          <w:lang w:eastAsia="zh-CN"/>
        </w:rPr>
        <w:t>县</w:t>
      </w:r>
      <w:r>
        <w:rPr>
          <w:rFonts w:hint="eastAsia" w:ascii="仿宋_GB2312" w:hAnsi="仿宋_GB2312" w:eastAsia="仿宋_GB2312" w:cs="仿宋_GB2312"/>
          <w:color w:val="auto"/>
          <w:sz w:val="32"/>
          <w:szCs w:val="32"/>
          <w:lang w:val="en-US" w:eastAsia="zh-CN"/>
        </w:rPr>
        <w:t>级</w:t>
      </w:r>
      <w:r>
        <w:rPr>
          <w:rFonts w:hint="eastAsia" w:ascii="仿宋_GB2312" w:hAnsi="仿宋_GB2312" w:eastAsia="仿宋_GB2312" w:cs="仿宋_GB2312"/>
          <w:color w:val="auto"/>
          <w:sz w:val="32"/>
          <w:szCs w:val="32"/>
          <w:lang w:eastAsia="zh-CN"/>
        </w:rPr>
        <w:t>以上</w:t>
      </w:r>
      <w:r>
        <w:rPr>
          <w:rFonts w:hint="eastAsia" w:ascii="仿宋_GB2312" w:hAnsi="仿宋_GB2312" w:eastAsia="仿宋_GB2312" w:cs="仿宋_GB2312"/>
          <w:color w:val="auto"/>
          <w:sz w:val="32"/>
          <w:szCs w:val="32"/>
        </w:rPr>
        <w:t>人民政府</w:t>
      </w:r>
      <w:r>
        <w:rPr>
          <w:rFonts w:hint="eastAsia" w:ascii="仿宋_GB2312" w:hAnsi="仿宋_GB2312" w:eastAsia="仿宋_GB2312" w:cs="仿宋_GB2312"/>
          <w:color w:val="auto"/>
          <w:sz w:val="32"/>
          <w:szCs w:val="32"/>
          <w:lang w:val="en-US" w:eastAsia="zh-CN"/>
        </w:rPr>
        <w:t>及其相关部门</w:t>
      </w:r>
      <w:r>
        <w:rPr>
          <w:rFonts w:hint="eastAsia" w:ascii="仿宋_GB2312" w:hAnsi="仿宋_GB2312" w:eastAsia="仿宋_GB2312" w:cs="仿宋_GB2312"/>
          <w:color w:val="auto"/>
          <w:sz w:val="32"/>
          <w:szCs w:val="32"/>
        </w:rPr>
        <w:t>应当采取措施优先发展公共交通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鼓励</w:t>
      </w:r>
      <w:r>
        <w:rPr>
          <w:rFonts w:hint="eastAsia" w:ascii="仿宋_GB2312" w:hAnsi="仿宋_GB2312" w:eastAsia="仿宋_GB2312" w:cs="仿宋_GB2312"/>
          <w:color w:val="auto"/>
          <w:sz w:val="32"/>
          <w:szCs w:val="32"/>
        </w:rPr>
        <w:t>和</w:t>
      </w:r>
      <w:r>
        <w:rPr>
          <w:rFonts w:hint="eastAsia" w:ascii="仿宋_GB2312" w:hAnsi="仿宋_GB2312" w:eastAsia="仿宋_GB2312" w:cs="仿宋_GB2312"/>
          <w:color w:val="auto"/>
          <w:sz w:val="32"/>
          <w:szCs w:val="32"/>
          <w:lang w:val="en-US" w:eastAsia="zh-CN"/>
        </w:rPr>
        <w:t>引导</w:t>
      </w:r>
      <w:r>
        <w:rPr>
          <w:rFonts w:hint="eastAsia" w:ascii="仿宋_GB2312" w:hAnsi="仿宋_GB2312" w:eastAsia="仿宋_GB2312" w:cs="仿宋_GB2312"/>
          <w:color w:val="auto"/>
          <w:sz w:val="32"/>
          <w:szCs w:val="32"/>
        </w:rPr>
        <w:t>公众绿色出行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建立健全</w:t>
      </w:r>
      <w:r>
        <w:rPr>
          <w:rFonts w:hint="eastAsia" w:ascii="仿宋_GB2312" w:hAnsi="仿宋_GB2312" w:eastAsia="仿宋_GB2312" w:cs="仿宋_GB2312"/>
          <w:color w:val="auto"/>
          <w:sz w:val="32"/>
          <w:szCs w:val="32"/>
        </w:rPr>
        <w:t>生活垃圾</w:t>
      </w:r>
      <w:r>
        <w:rPr>
          <w:rFonts w:hint="eastAsia" w:ascii="仿宋_GB2312" w:hAnsi="仿宋_GB2312" w:eastAsia="仿宋_GB2312" w:cs="仿宋_GB2312"/>
          <w:color w:val="auto"/>
          <w:sz w:val="32"/>
          <w:szCs w:val="32"/>
          <w:lang w:val="en-US" w:eastAsia="zh-CN"/>
        </w:rPr>
        <w:t>管理制度，做好生活垃圾处置；积极</w:t>
      </w:r>
      <w:r>
        <w:rPr>
          <w:rFonts w:hint="eastAsia" w:ascii="仿宋_GB2312" w:hAnsi="仿宋_GB2312" w:eastAsia="仿宋_GB2312" w:cs="仿宋_GB2312"/>
          <w:color w:val="auto"/>
          <w:sz w:val="32"/>
          <w:szCs w:val="32"/>
        </w:rPr>
        <w:t>推动二手商品交易规范有序发展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规定机关、企业事业单位</w:t>
      </w:r>
      <w:r>
        <w:rPr>
          <w:rFonts w:hint="eastAsia" w:ascii="仿宋_GB2312" w:hAnsi="仿宋_GB2312" w:eastAsia="仿宋_GB2312" w:cs="仿宋_GB2312"/>
          <w:color w:val="auto"/>
          <w:sz w:val="32"/>
          <w:szCs w:val="32"/>
          <w:lang w:eastAsia="zh-CN"/>
        </w:rPr>
        <w:t>应当</w:t>
      </w:r>
      <w:r>
        <w:rPr>
          <w:rFonts w:hint="eastAsia" w:ascii="仿宋_GB2312" w:hAnsi="仿宋_GB2312" w:eastAsia="仿宋_GB2312" w:cs="仿宋_GB2312"/>
          <w:color w:val="auto"/>
          <w:sz w:val="32"/>
          <w:szCs w:val="32"/>
        </w:rPr>
        <w:t>加强餐饮节约管理。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Times New Roman" w:hAnsi="Times New Roman" w:eastAsia="楷体" w:cs="Times New Roman"/>
          <w:sz w:val="32"/>
          <w:szCs w:val="32"/>
          <w:lang w:val="en-US" w:eastAsia="zh-CN"/>
        </w:rPr>
        <w:t>六</w:t>
      </w:r>
      <w:r>
        <w:rPr>
          <w:rFonts w:hint="eastAsia" w:ascii="Times New Roman" w:hAnsi="Times New Roman" w:eastAsia="楷体" w:cs="Times New Roman"/>
          <w:sz w:val="32"/>
          <w:szCs w:val="32"/>
        </w:rPr>
        <w:t>是</w:t>
      </w:r>
      <w:r>
        <w:rPr>
          <w:rFonts w:hint="eastAsia" w:ascii="Times New Roman" w:hAnsi="Times New Roman" w:eastAsia="楷体" w:cs="Times New Roman"/>
          <w:sz w:val="32"/>
          <w:szCs w:val="32"/>
          <w:lang w:val="en-US" w:eastAsia="zh-CN"/>
        </w:rPr>
        <w:t>保障措施</w:t>
      </w:r>
      <w:r>
        <w:rPr>
          <w:rFonts w:hint="eastAsia" w:ascii="Times New Roman" w:hAnsi="Times New Roman" w:eastAsia="楷体" w:cs="Times New Roman"/>
          <w:sz w:val="32"/>
          <w:szCs w:val="32"/>
        </w:rPr>
        <w:t>。</w:t>
      </w:r>
      <w:r>
        <w:rPr>
          <w:rFonts w:hint="eastAsia" w:ascii="Times New Roman" w:hAnsi="Times New Roman" w:eastAsia="仿宋_GB2312" w:cs="Times New Roman"/>
          <w:sz w:val="32"/>
          <w:szCs w:val="32"/>
          <w:lang w:val="en-US" w:eastAsia="zh-CN"/>
        </w:rPr>
        <w:t>规定</w:t>
      </w:r>
      <w:r>
        <w:rPr>
          <w:rFonts w:hint="eastAsia" w:ascii="Times New Roman" w:hAnsi="Times New Roman" w:eastAsia="仿宋_GB2312" w:cs="Times New Roman"/>
          <w:sz w:val="32"/>
          <w:szCs w:val="32"/>
        </w:rPr>
        <w:t>了</w:t>
      </w:r>
      <w:r>
        <w:rPr>
          <w:rFonts w:hint="eastAsia" w:ascii="仿宋_GB2312" w:hAnsi="仿宋_GB2312" w:eastAsia="仿宋_GB2312" w:cs="仿宋_GB2312"/>
          <w:color w:val="auto"/>
          <w:sz w:val="32"/>
          <w:szCs w:val="32"/>
          <w:lang w:val="en-US" w:eastAsia="zh-CN"/>
        </w:rPr>
        <w:t>省人民政府相关部门应当</w:t>
      </w:r>
      <w:r>
        <w:rPr>
          <w:rFonts w:hint="eastAsia" w:ascii="仿宋_GB2312" w:hAnsi="仿宋_GB2312" w:eastAsia="仿宋_GB2312" w:cs="仿宋_GB2312"/>
          <w:color w:val="auto"/>
          <w:sz w:val="32"/>
          <w:szCs w:val="32"/>
        </w:rPr>
        <w:t>根据国家和</w:t>
      </w:r>
      <w:r>
        <w:rPr>
          <w:rFonts w:hint="eastAsia" w:ascii="仿宋_GB2312" w:hAnsi="仿宋_GB2312" w:eastAsia="仿宋_GB2312" w:cs="仿宋_GB2312"/>
          <w:color w:val="auto"/>
          <w:sz w:val="32"/>
          <w:szCs w:val="32"/>
          <w:lang w:eastAsia="zh-CN"/>
        </w:rPr>
        <w:t>省</w:t>
      </w:r>
      <w:r>
        <w:rPr>
          <w:rFonts w:hint="eastAsia" w:ascii="仿宋_GB2312" w:hAnsi="仿宋_GB2312" w:eastAsia="仿宋_GB2312" w:cs="仿宋_GB2312"/>
          <w:color w:val="auto"/>
          <w:sz w:val="32"/>
          <w:szCs w:val="32"/>
          <w:lang w:val="en-US" w:eastAsia="zh-CN"/>
        </w:rPr>
        <w:t>有关</w:t>
      </w:r>
      <w:r>
        <w:rPr>
          <w:rFonts w:hint="eastAsia" w:ascii="仿宋_GB2312" w:hAnsi="仿宋_GB2312" w:eastAsia="仿宋_GB2312" w:cs="仿宋_GB2312"/>
          <w:color w:val="auto"/>
          <w:sz w:val="32"/>
          <w:szCs w:val="32"/>
        </w:rPr>
        <w:t>规定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制定企业绿色转型相关评价要求</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评价标准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协调</w:t>
      </w:r>
      <w:r>
        <w:rPr>
          <w:rFonts w:hint="eastAsia" w:ascii="仿宋_GB2312" w:hAnsi="仿宋_GB2312" w:eastAsia="仿宋_GB2312" w:cs="仿宋_GB2312"/>
          <w:color w:val="auto"/>
          <w:sz w:val="32"/>
          <w:szCs w:val="32"/>
        </w:rPr>
        <w:t>建立绿色金融服务平台</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完善体现生态价值和环境损害成本的资源环境价格政策机制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统一规范的碳排放统计核算方法，加强碳排放权管理，</w:t>
      </w:r>
      <w:r>
        <w:rPr>
          <w:rFonts w:hint="eastAsia" w:ascii="仿宋_GB2312" w:hAnsi="仿宋_GB2312" w:eastAsia="仿宋_GB2312" w:cs="仿宋_GB2312"/>
          <w:color w:val="auto"/>
          <w:sz w:val="32"/>
          <w:szCs w:val="32"/>
        </w:rPr>
        <w:t>健全绿色低碳供应链管理服务体系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建立健全节能审查制度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规定县级以上人民政府及其相关部门应当</w:t>
      </w:r>
      <w:r>
        <w:rPr>
          <w:rFonts w:hint="eastAsia" w:ascii="仿宋_GB2312" w:hAnsi="仿宋_GB2312" w:eastAsia="仿宋_GB2312" w:cs="仿宋_GB2312"/>
          <w:color w:val="auto"/>
          <w:sz w:val="32"/>
          <w:szCs w:val="32"/>
        </w:rPr>
        <w:t>建立</w:t>
      </w:r>
      <w:r>
        <w:rPr>
          <w:rFonts w:hint="eastAsia" w:ascii="仿宋_GB2312" w:hAnsi="仿宋_GB2312" w:eastAsia="仿宋_GB2312" w:cs="仿宋_GB2312"/>
          <w:color w:val="auto"/>
          <w:sz w:val="32"/>
          <w:szCs w:val="32"/>
          <w:lang w:val="en-US" w:eastAsia="zh-CN"/>
        </w:rPr>
        <w:t>完善</w:t>
      </w:r>
      <w:r>
        <w:rPr>
          <w:rFonts w:hint="eastAsia" w:ascii="仿宋_GB2312" w:hAnsi="仿宋_GB2312" w:eastAsia="仿宋_GB2312" w:cs="仿宋_GB2312"/>
          <w:color w:val="auto"/>
          <w:sz w:val="32"/>
          <w:szCs w:val="32"/>
        </w:rPr>
        <w:t>多元化绿色投融资机制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加大</w:t>
      </w:r>
      <w:r>
        <w:rPr>
          <w:rFonts w:hint="eastAsia" w:ascii="仿宋_GB2312" w:hAnsi="仿宋_GB2312" w:eastAsia="仿宋_GB2312" w:cs="仿宋_GB2312"/>
          <w:color w:val="auto"/>
          <w:sz w:val="32"/>
          <w:szCs w:val="32"/>
          <w:lang w:val="en-US" w:eastAsia="zh-CN"/>
        </w:rPr>
        <w:t>对</w:t>
      </w:r>
      <w:r>
        <w:rPr>
          <w:rFonts w:hint="eastAsia" w:ascii="仿宋_GB2312" w:hAnsi="仿宋_GB2312" w:eastAsia="仿宋_GB2312" w:cs="仿宋_GB2312"/>
          <w:color w:val="auto"/>
          <w:sz w:val="32"/>
          <w:szCs w:val="32"/>
        </w:rPr>
        <w:t>中小企业绿色</w:t>
      </w:r>
      <w:r>
        <w:rPr>
          <w:rFonts w:hint="eastAsia" w:ascii="仿宋_GB2312" w:hAnsi="仿宋_GB2312" w:eastAsia="仿宋_GB2312" w:cs="仿宋_GB2312"/>
          <w:color w:val="auto"/>
          <w:sz w:val="32"/>
          <w:szCs w:val="32"/>
          <w:lang w:eastAsia="zh-CN"/>
        </w:rPr>
        <w:t>低碳</w:t>
      </w:r>
      <w:r>
        <w:rPr>
          <w:rFonts w:hint="eastAsia" w:ascii="仿宋_GB2312" w:hAnsi="仿宋_GB2312" w:eastAsia="仿宋_GB2312" w:cs="仿宋_GB2312"/>
          <w:color w:val="auto"/>
          <w:sz w:val="32"/>
          <w:szCs w:val="32"/>
        </w:rPr>
        <w:t>转型的支持力度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加强绿色转型相关领域人才的培育和引进</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建设绿色转型升级人才队伍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建立完善绿色技术创新体系，</w:t>
      </w:r>
      <w:r>
        <w:rPr>
          <w:rFonts w:hint="eastAsia" w:ascii="仿宋_GB2312" w:hAnsi="仿宋_GB2312" w:eastAsia="仿宋_GB2312" w:cs="仿宋_GB2312"/>
          <w:color w:val="auto"/>
          <w:sz w:val="32"/>
          <w:szCs w:val="32"/>
        </w:rPr>
        <w:t>加快培育绿色技术相关科技创新平台</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同时规定容错免责，对于促进绿色低碳高质量发展工作中的错误，符合规定条件的，可以依法予以免责或者减轻责任。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footerReference r:id="rId3" w:type="default"/>
      <w:pgSz w:w="11906" w:h="16838"/>
      <w:pgMar w:top="2098" w:right="1474" w:bottom="198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